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 w:val="0"/>
          <w:bCs w:val="0"/>
          <w:kern w:val="2"/>
          <w:sz w:val="32"/>
          <w:szCs w:val="32"/>
          <w:lang w:val="en-US" w:eastAsia="zh-CN" w:bidi="ar-SA"/>
        </w:rPr>
        <w:t>附件1</w:t>
      </w:r>
    </w:p>
    <w:tbl>
      <w:tblPr>
        <w:tblStyle w:val="7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2798"/>
        <w:gridCol w:w="5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2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8"/>
                <w:szCs w:val="28"/>
                <w:vertAlign w:val="baseline"/>
                <w:lang w:val="en-US" w:eastAsia="zh-CN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5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技术性能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atLeast"/>
          <w:jc w:val="center"/>
        </w:trPr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lang w:val="en-US" w:eastAsia="zh-CN"/>
              </w:rPr>
              <w:t>植保无人机</w:t>
            </w:r>
          </w:p>
        </w:tc>
        <w:tc>
          <w:tcPr>
            <w:tcW w:w="56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1.喷洒水箱不小于50升；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2.飞行半径不低于1.5千米，同时具有安全避障系统；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28"/>
                <w:szCs w:val="28"/>
                <w:lang w:val="en-US" w:eastAsia="zh-CN"/>
              </w:rPr>
              <w:t>3.配套充电系统，且适配无人机电池快速充电，完成1次无人机电池充电30%-95%电量时间15分钟以内。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商务要求：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kern w:val="2"/>
          <w:sz w:val="32"/>
          <w:szCs w:val="32"/>
          <w:lang w:val="en-US" w:eastAsia="zh-CN" w:bidi="ar-SA"/>
        </w:rPr>
        <w:t>（1）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具有一年及以上质保期并有完善的售后服务；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（2）供应商负责将设备输送至目的地并从货车上卸下至路面；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（3）提供增值税专用发票；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（4）合同签订之日起30天内全部交货并安装调试完毕。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NzE4MGU3NWQ5OGE2MzhhZGU3ZjVlY2ViYTI4MDAifQ=="/>
  </w:docVars>
  <w:rsids>
    <w:rsidRoot w:val="0C21201C"/>
    <w:rsid w:val="03A42B5A"/>
    <w:rsid w:val="0C21201C"/>
    <w:rsid w:val="10BA69C4"/>
    <w:rsid w:val="11460FBD"/>
    <w:rsid w:val="19655F9F"/>
    <w:rsid w:val="1A3F22D3"/>
    <w:rsid w:val="2980759C"/>
    <w:rsid w:val="29D318FF"/>
    <w:rsid w:val="2B062A98"/>
    <w:rsid w:val="2BF02358"/>
    <w:rsid w:val="38563C49"/>
    <w:rsid w:val="3D1540B5"/>
    <w:rsid w:val="448A4717"/>
    <w:rsid w:val="44D13629"/>
    <w:rsid w:val="4B0D7B1C"/>
    <w:rsid w:val="50291F71"/>
    <w:rsid w:val="55C63516"/>
    <w:rsid w:val="7B7F325E"/>
    <w:rsid w:val="7CB1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1"/>
    <w:semiHidden/>
    <w:unhideWhenUsed/>
    <w:qFormat/>
    <w:uiPriority w:val="0"/>
    <w:pPr>
      <w:keepNext w:val="0"/>
      <w:keepLines w:val="0"/>
      <w:spacing w:beforeLines="0" w:beforeAutospacing="0" w:afterLines="0" w:afterAutospacing="0" w:line="600" w:lineRule="exact"/>
      <w:ind w:firstLine="0" w:firstLineChars="0"/>
      <w:jc w:val="center"/>
      <w:outlineLvl w:val="1"/>
    </w:pPr>
    <w:rPr>
      <w:rFonts w:ascii="Arial" w:hAnsi="Arial" w:eastAsia="方正黑体简体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方正楷体简体" w:asciiTheme="minorAscii" w:hAnsiTheme="minorAscii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unhideWhenUsed/>
    <w:qFormat/>
    <w:uiPriority w:val="99"/>
    <w:pPr>
      <w:spacing w:after="120" w:line="560" w:lineRule="exact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link w:val="2"/>
    <w:qFormat/>
    <w:uiPriority w:val="0"/>
    <w:rPr>
      <w:rFonts w:eastAsia="方正小标宋简体" w:asciiTheme="minorAscii" w:hAnsiTheme="minorAscii"/>
      <w:kern w:val="44"/>
      <w:sz w:val="44"/>
    </w:rPr>
  </w:style>
  <w:style w:type="character" w:customStyle="1" w:styleId="10">
    <w:name w:val="标题 3 Char"/>
    <w:link w:val="4"/>
    <w:qFormat/>
    <w:uiPriority w:val="0"/>
    <w:rPr>
      <w:rFonts w:eastAsia="方正楷体简体" w:asciiTheme="minorAscii" w:hAnsiTheme="minorAscii"/>
      <w:sz w:val="32"/>
    </w:rPr>
  </w:style>
  <w:style w:type="character" w:customStyle="1" w:styleId="11">
    <w:name w:val="标题 2 Char"/>
    <w:link w:val="3"/>
    <w:qFormat/>
    <w:uiPriority w:val="0"/>
    <w:rPr>
      <w:rFonts w:ascii="Arial" w:hAnsi="Arial" w:eastAsia="方正黑体简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177</Characters>
  <Lines>0</Lines>
  <Paragraphs>0</Paragraphs>
  <TotalTime>10</TotalTime>
  <ScaleCrop>false</ScaleCrop>
  <LinksUpToDate>false</LinksUpToDate>
  <CharactersWithSpaces>177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2025-01-07T01:41:00Z</dcterms:created>
  <dc:creator>张续凡</dc:creator>
  <cp:lastModifiedBy>张续凡</cp:lastModifiedBy>
  <dcterms:modified xsi:type="dcterms:W3CDTF">2025-01-10T06:26:07Z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059C722CC6A045FE8F399A07323BBDF9</vt:lpwstr>
  </property>
</Properties>
</file>